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7C5EFD" w:rsidP="0074125B">
      <w:pPr>
        <w:pStyle w:val="Header"/>
        <w:tabs>
          <w:tab w:val="clear" w:pos="8306"/>
          <w:tab w:val="left" w:pos="2410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74125B">
        <w:rPr>
          <w:bCs/>
          <w:iCs/>
          <w:szCs w:val="24"/>
          <w:lang w:val="lv-LV"/>
        </w:rPr>
        <w:t>118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74125B" w:rsidRPr="00E03DEB" w:rsidRDefault="0074125B" w:rsidP="0074125B">
      <w:pPr>
        <w:pStyle w:val="Heading4"/>
        <w:tabs>
          <w:tab w:val="left" w:pos="709"/>
        </w:tabs>
        <w:rPr>
          <w:sz w:val="24"/>
          <w:szCs w:val="24"/>
        </w:rPr>
      </w:pPr>
      <w:r w:rsidRPr="00E03DEB">
        <w:rPr>
          <w:sz w:val="24"/>
          <w:szCs w:val="24"/>
        </w:rPr>
        <w:t>Par grozījumiem ZPR 2019. gada budžetā</w:t>
      </w:r>
    </w:p>
    <w:p w:rsidR="0074125B" w:rsidRPr="00E03DEB" w:rsidRDefault="0074125B" w:rsidP="0074125B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 </w:t>
      </w:r>
    </w:p>
    <w:p w:rsidR="0074125B" w:rsidRPr="0074125B" w:rsidRDefault="0074125B" w:rsidP="0074125B">
      <w:pPr>
        <w:pStyle w:val="Subtitle"/>
        <w:tabs>
          <w:tab w:val="left" w:pos="0"/>
        </w:tabs>
        <w:ind w:firstLine="567"/>
        <w:jc w:val="both"/>
        <w:rPr>
          <w:sz w:val="23"/>
          <w:szCs w:val="23"/>
        </w:rPr>
      </w:pPr>
      <w:r w:rsidRPr="0074125B">
        <w:rPr>
          <w:b w:val="0"/>
          <w:bCs/>
          <w:sz w:val="23"/>
          <w:szCs w:val="23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74125B">
        <w:rPr>
          <w:sz w:val="23"/>
          <w:szCs w:val="23"/>
        </w:rPr>
        <w:t>n o l e m j :</w:t>
      </w:r>
    </w:p>
    <w:p w:rsidR="0074125B" w:rsidRPr="0074125B" w:rsidRDefault="0074125B" w:rsidP="0074125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ZPR 2019. </w:t>
      </w:r>
      <w:proofErr w:type="spellStart"/>
      <w:proofErr w:type="gramStart"/>
      <w:r w:rsidRPr="0074125B">
        <w:rPr>
          <w:sz w:val="23"/>
          <w:szCs w:val="23"/>
        </w:rPr>
        <w:t>gada</w:t>
      </w:r>
      <w:proofErr w:type="spellEnd"/>
      <w:proofErr w:type="gram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par </w:t>
      </w:r>
      <w:r w:rsidRPr="0074125B">
        <w:rPr>
          <w:b/>
          <w:i/>
          <w:sz w:val="23"/>
          <w:szCs w:val="23"/>
        </w:rPr>
        <w:t>595 303,00 EUR </w:t>
      </w:r>
      <w:r w:rsidRPr="0074125B">
        <w:rPr>
          <w:sz w:val="23"/>
          <w:szCs w:val="23"/>
        </w:rPr>
        <w:t>(</w:t>
      </w:r>
      <w:proofErr w:type="spellStart"/>
      <w:r w:rsidRPr="0074125B">
        <w:rPr>
          <w:sz w:val="23"/>
          <w:szCs w:val="23"/>
        </w:rPr>
        <w:t>pieci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simti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deviņdesmit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pieci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tūkstoši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trīs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simti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trīs</w:t>
      </w:r>
      <w:proofErr w:type="spellEnd"/>
      <w:r w:rsidRPr="0074125B">
        <w:rPr>
          <w:sz w:val="23"/>
          <w:szCs w:val="23"/>
        </w:rPr>
        <w:t xml:space="preserve"> </w:t>
      </w:r>
      <w:r w:rsidRPr="0074125B">
        <w:rPr>
          <w:i/>
          <w:sz w:val="23"/>
          <w:szCs w:val="23"/>
        </w:rPr>
        <w:t>euro</w:t>
      </w:r>
      <w:r w:rsidRPr="0074125B">
        <w:rPr>
          <w:sz w:val="23"/>
          <w:szCs w:val="23"/>
        </w:rPr>
        <w:t xml:space="preserve">). </w:t>
      </w:r>
    </w:p>
    <w:p w:rsidR="0074125B" w:rsidRPr="0074125B" w:rsidRDefault="0074125B" w:rsidP="0074125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ZPR 2019.</w:t>
      </w:r>
      <w:r w:rsidRPr="0074125B">
        <w:rPr>
          <w:b/>
          <w:i/>
          <w:sz w:val="23"/>
          <w:szCs w:val="23"/>
        </w:rPr>
        <w:t> </w:t>
      </w:r>
      <w:proofErr w:type="spellStart"/>
      <w:proofErr w:type="gramStart"/>
      <w:r w:rsidRPr="0074125B">
        <w:rPr>
          <w:sz w:val="23"/>
          <w:szCs w:val="23"/>
        </w:rPr>
        <w:t>gada</w:t>
      </w:r>
      <w:proofErr w:type="spellEnd"/>
      <w:proofErr w:type="gram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par </w:t>
      </w:r>
      <w:r w:rsidRPr="0074125B">
        <w:rPr>
          <w:b/>
          <w:i/>
          <w:sz w:val="23"/>
          <w:szCs w:val="23"/>
        </w:rPr>
        <w:t>595 303,00 EUR </w:t>
      </w:r>
      <w:r w:rsidRPr="0074125B">
        <w:rPr>
          <w:sz w:val="23"/>
          <w:szCs w:val="23"/>
        </w:rPr>
        <w:t>(</w:t>
      </w:r>
      <w:proofErr w:type="spellStart"/>
      <w:r w:rsidRPr="0074125B">
        <w:rPr>
          <w:sz w:val="23"/>
          <w:szCs w:val="23"/>
        </w:rPr>
        <w:t>pieci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simti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deviņdesmit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pieci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tūkstoši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trīs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simti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trīs</w:t>
      </w:r>
      <w:proofErr w:type="spellEnd"/>
      <w:r w:rsidRPr="0074125B">
        <w:rPr>
          <w:sz w:val="23"/>
          <w:szCs w:val="23"/>
        </w:rPr>
        <w:t xml:space="preserve"> </w:t>
      </w:r>
      <w:r w:rsidRPr="0074125B">
        <w:rPr>
          <w:i/>
          <w:sz w:val="23"/>
          <w:szCs w:val="23"/>
        </w:rPr>
        <w:t>euro</w:t>
      </w:r>
      <w:r w:rsidRPr="0074125B">
        <w:rPr>
          <w:sz w:val="23"/>
          <w:szCs w:val="23"/>
        </w:rPr>
        <w:t xml:space="preserve">). </w:t>
      </w:r>
    </w:p>
    <w:p w:rsidR="0074125B" w:rsidRPr="0074125B" w:rsidRDefault="0074125B" w:rsidP="0074125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Uzdot</w:t>
      </w:r>
      <w:proofErr w:type="spellEnd"/>
      <w:r w:rsidRPr="0074125B">
        <w:rPr>
          <w:sz w:val="23"/>
          <w:szCs w:val="23"/>
        </w:rPr>
        <w:t xml:space="preserve"> ZPR </w:t>
      </w:r>
      <w:proofErr w:type="spellStart"/>
      <w:r w:rsidRPr="0074125B">
        <w:rPr>
          <w:sz w:val="23"/>
          <w:szCs w:val="23"/>
        </w:rPr>
        <w:t>grāmatvedībai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precizēt</w:t>
      </w:r>
      <w:proofErr w:type="spellEnd"/>
      <w:r w:rsidRPr="0074125B">
        <w:rPr>
          <w:sz w:val="23"/>
          <w:szCs w:val="23"/>
        </w:rPr>
        <w:t xml:space="preserve"> ZPR 2019. </w:t>
      </w:r>
      <w:proofErr w:type="spellStart"/>
      <w:r w:rsidRPr="0074125B">
        <w:rPr>
          <w:sz w:val="23"/>
          <w:szCs w:val="23"/>
        </w:rPr>
        <w:t>gada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>: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8 440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LLI-302 „</w:t>
      </w:r>
      <w:proofErr w:type="spellStart"/>
      <w:r w:rsidRPr="0074125B">
        <w:rPr>
          <w:sz w:val="23"/>
          <w:szCs w:val="23"/>
        </w:rPr>
        <w:t>Vietējo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publisko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drošības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pakalpojumu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efektivitātes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pieejamības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uzlabošana</w:t>
      </w:r>
      <w:proofErr w:type="spellEnd"/>
      <w:r w:rsidRPr="0074125B">
        <w:rPr>
          <w:sz w:val="23"/>
          <w:szCs w:val="23"/>
        </w:rPr>
        <w:t xml:space="preserve"> Latvijas un </w:t>
      </w:r>
      <w:proofErr w:type="spellStart"/>
      <w:r w:rsidRPr="0074125B">
        <w:rPr>
          <w:sz w:val="23"/>
          <w:szCs w:val="23"/>
        </w:rPr>
        <w:t>Lietuvas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pierobežā</w:t>
      </w:r>
      <w:proofErr w:type="spellEnd"/>
      <w:r w:rsidRPr="0074125B">
        <w:rPr>
          <w:sz w:val="23"/>
          <w:szCs w:val="23"/>
        </w:rPr>
        <w:t xml:space="preserve"> (Safe </w:t>
      </w:r>
      <w:proofErr w:type="spellStart"/>
      <w:r w:rsidRPr="0074125B">
        <w:rPr>
          <w:sz w:val="23"/>
          <w:szCs w:val="23"/>
        </w:rPr>
        <w:t>bordenlands</w:t>
      </w:r>
      <w:proofErr w:type="spellEnd"/>
      <w:r w:rsidRPr="0074125B">
        <w:rPr>
          <w:sz w:val="23"/>
          <w:szCs w:val="23"/>
        </w:rPr>
        <w:t>)" (</w:t>
      </w:r>
      <w:proofErr w:type="spellStart"/>
      <w:r w:rsidRPr="0074125B">
        <w:rPr>
          <w:sz w:val="23"/>
          <w:szCs w:val="23"/>
        </w:rPr>
        <w:t>Vadošās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iestādes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13 352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PGI05271 „</w:t>
      </w:r>
      <w:proofErr w:type="spellStart"/>
      <w:r w:rsidRPr="0074125B">
        <w:rPr>
          <w:sz w:val="23"/>
          <w:szCs w:val="23"/>
        </w:rPr>
        <w:t>Eiropas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bioloģiskās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daudzveidības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aizsardzība</w:t>
      </w:r>
      <w:proofErr w:type="spellEnd"/>
      <w:r w:rsidRPr="0074125B">
        <w:rPr>
          <w:sz w:val="23"/>
          <w:szCs w:val="23"/>
        </w:rPr>
        <w:t xml:space="preserve"> no </w:t>
      </w:r>
      <w:proofErr w:type="spellStart"/>
      <w:r w:rsidRPr="0074125B">
        <w:rPr>
          <w:sz w:val="23"/>
          <w:szCs w:val="23"/>
        </w:rPr>
        <w:t>invazīvām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svešzemju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sugām</w:t>
      </w:r>
      <w:proofErr w:type="spellEnd"/>
      <w:r w:rsidRPr="0074125B">
        <w:rPr>
          <w:sz w:val="23"/>
          <w:szCs w:val="23"/>
        </w:rPr>
        <w:t xml:space="preserve"> (INVALIS)” (</w:t>
      </w:r>
      <w:proofErr w:type="spellStart"/>
      <w:r w:rsidRPr="0074125B">
        <w:rPr>
          <w:sz w:val="23"/>
          <w:szCs w:val="23"/>
        </w:rPr>
        <w:t>Vadošā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partnera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23 911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PGI00241 „</w:t>
      </w:r>
      <w:proofErr w:type="spellStart"/>
      <w:r w:rsidRPr="0074125B">
        <w:rPr>
          <w:sz w:val="23"/>
          <w:szCs w:val="23"/>
        </w:rPr>
        <w:t>Reģionālo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politiku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veidošana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uzņēmumiem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laukos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inovatīvas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konkurētspējas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izaugsmes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attīstībai</w:t>
      </w:r>
      <w:proofErr w:type="spellEnd"/>
      <w:r w:rsidRPr="0074125B">
        <w:rPr>
          <w:sz w:val="23"/>
          <w:szCs w:val="23"/>
        </w:rPr>
        <w:t xml:space="preserve"> (INNOGROW)” (</w:t>
      </w:r>
      <w:proofErr w:type="spellStart"/>
      <w:r w:rsidRPr="0074125B">
        <w:rPr>
          <w:sz w:val="23"/>
          <w:szCs w:val="23"/>
        </w:rPr>
        <w:t>Vadošā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partnera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6 308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PGI05114 “</w:t>
      </w:r>
      <w:proofErr w:type="spellStart"/>
      <w:r w:rsidRPr="0074125B">
        <w:rPr>
          <w:sz w:val="23"/>
          <w:szCs w:val="23"/>
        </w:rPr>
        <w:t>Jauniešu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uzņēmējdarbības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izpratnes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atbalsts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izmantojot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kompetenču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dinamiku</w:t>
      </w:r>
      <w:proofErr w:type="spellEnd"/>
      <w:r w:rsidRPr="0074125B">
        <w:rPr>
          <w:sz w:val="23"/>
          <w:szCs w:val="23"/>
        </w:rPr>
        <w:t xml:space="preserve">, </w:t>
      </w:r>
      <w:proofErr w:type="spellStart"/>
      <w:r w:rsidRPr="0074125B">
        <w:rPr>
          <w:sz w:val="23"/>
          <w:szCs w:val="23"/>
        </w:rPr>
        <w:t>mācību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metodes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uzņēmējdarbības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ekosistēmu</w:t>
      </w:r>
      <w:proofErr w:type="spellEnd"/>
      <w:r w:rsidRPr="0074125B">
        <w:rPr>
          <w:sz w:val="23"/>
          <w:szCs w:val="23"/>
        </w:rPr>
        <w:t xml:space="preserve"> (E_COOL) (</w:t>
      </w:r>
      <w:proofErr w:type="spellStart"/>
      <w:r w:rsidRPr="0074125B">
        <w:rPr>
          <w:sz w:val="23"/>
          <w:szCs w:val="23"/>
        </w:rPr>
        <w:t>Vadošā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partnera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186 275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LLI-317 "</w:t>
      </w:r>
      <w:proofErr w:type="spellStart"/>
      <w:r w:rsidRPr="0074125B">
        <w:rPr>
          <w:sz w:val="23"/>
          <w:szCs w:val="23"/>
        </w:rPr>
        <w:t>Sociālo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pakalpojumu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pieejamības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kvalitātes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uzlabošana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Vidus-Baltijas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reğionā</w:t>
      </w:r>
      <w:proofErr w:type="spellEnd"/>
      <w:r w:rsidRPr="0074125B">
        <w:rPr>
          <w:sz w:val="23"/>
          <w:szCs w:val="23"/>
        </w:rPr>
        <w:t>" (</w:t>
      </w:r>
      <w:proofErr w:type="spellStart"/>
      <w:r w:rsidRPr="0074125B">
        <w:rPr>
          <w:sz w:val="23"/>
          <w:szCs w:val="23"/>
        </w:rPr>
        <w:t>SocQuality</w:t>
      </w:r>
      <w:proofErr w:type="spellEnd"/>
      <w:r w:rsidRPr="0074125B">
        <w:rPr>
          <w:sz w:val="23"/>
          <w:szCs w:val="23"/>
        </w:rPr>
        <w:t>)” (</w:t>
      </w:r>
      <w:proofErr w:type="spellStart"/>
      <w:r w:rsidRPr="0074125B">
        <w:rPr>
          <w:sz w:val="23"/>
          <w:szCs w:val="23"/>
        </w:rPr>
        <w:t>Vadošās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iestādes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12 948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#R073 „</w:t>
      </w:r>
      <w:proofErr w:type="spellStart"/>
      <w:r w:rsidRPr="0074125B">
        <w:rPr>
          <w:sz w:val="23"/>
          <w:szCs w:val="23"/>
        </w:rPr>
        <w:t>Pārrobežu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sadarbība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pārejai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videi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draudzīgu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autonomo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pirmās</w:t>
      </w:r>
      <w:proofErr w:type="spellEnd"/>
      <w:r w:rsidRPr="0074125B">
        <w:rPr>
          <w:sz w:val="23"/>
          <w:szCs w:val="23"/>
        </w:rPr>
        <w:t>/</w:t>
      </w:r>
      <w:proofErr w:type="spellStart"/>
      <w:r w:rsidRPr="0074125B">
        <w:rPr>
          <w:sz w:val="23"/>
          <w:szCs w:val="23"/>
        </w:rPr>
        <w:t>pēdējās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jūdzes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sabiedrisko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transportu</w:t>
      </w:r>
      <w:proofErr w:type="spellEnd"/>
      <w:r w:rsidRPr="0074125B">
        <w:rPr>
          <w:sz w:val="23"/>
          <w:szCs w:val="23"/>
        </w:rPr>
        <w:t xml:space="preserve">  (SOHJOA BALTIC)” (</w:t>
      </w:r>
      <w:proofErr w:type="spellStart"/>
      <w:r w:rsidRPr="0074125B">
        <w:rPr>
          <w:sz w:val="23"/>
          <w:szCs w:val="23"/>
        </w:rPr>
        <w:t>Vadošā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partnera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22 453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PGI02462 „</w:t>
      </w:r>
      <w:proofErr w:type="spellStart"/>
      <w:r w:rsidRPr="0074125B">
        <w:rPr>
          <w:sz w:val="23"/>
          <w:szCs w:val="23"/>
        </w:rPr>
        <w:t>Zaļais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publiskais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iepirkums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resursu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efektīvai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izaugsmei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reģionos</w:t>
      </w:r>
      <w:proofErr w:type="spellEnd"/>
      <w:r w:rsidRPr="0074125B">
        <w:rPr>
          <w:sz w:val="23"/>
          <w:szCs w:val="23"/>
        </w:rPr>
        <w:t xml:space="preserve"> (GPP4Growth)” (</w:t>
      </w:r>
      <w:proofErr w:type="spellStart"/>
      <w:r w:rsidRPr="0074125B">
        <w:rPr>
          <w:sz w:val="23"/>
          <w:szCs w:val="23"/>
        </w:rPr>
        <w:t>Vadošā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partnera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atmaksa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278 530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ENI-LLB-1-108 "</w:t>
      </w:r>
      <w:proofErr w:type="spellStart"/>
      <w:r w:rsidRPr="0074125B">
        <w:rPr>
          <w:sz w:val="23"/>
          <w:szCs w:val="23"/>
        </w:rPr>
        <w:t>Nemateri</w:t>
      </w:r>
      <w:r w:rsidRPr="0074125B">
        <w:rPr>
          <w:rFonts w:hint="eastAsia"/>
          <w:sz w:val="23"/>
          <w:szCs w:val="23"/>
        </w:rPr>
        <w:t>ā</w:t>
      </w:r>
      <w:r w:rsidRPr="0074125B">
        <w:rPr>
          <w:sz w:val="23"/>
          <w:szCs w:val="23"/>
        </w:rPr>
        <w:t>l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kult</w:t>
      </w:r>
      <w:r w:rsidRPr="0074125B">
        <w:rPr>
          <w:rFonts w:hint="eastAsia"/>
          <w:sz w:val="23"/>
          <w:szCs w:val="23"/>
        </w:rPr>
        <w:t>ū</w:t>
      </w:r>
      <w:r w:rsidRPr="0074125B">
        <w:rPr>
          <w:sz w:val="23"/>
          <w:szCs w:val="23"/>
        </w:rPr>
        <w:t>rv</w:t>
      </w:r>
      <w:r w:rsidRPr="0074125B">
        <w:rPr>
          <w:rFonts w:hint="eastAsia"/>
          <w:sz w:val="23"/>
          <w:szCs w:val="23"/>
        </w:rPr>
        <w:t>ē</w:t>
      </w:r>
      <w:r w:rsidRPr="0074125B">
        <w:rPr>
          <w:sz w:val="23"/>
          <w:szCs w:val="23"/>
        </w:rPr>
        <w:t>sturisk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mantojuma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saglab</w:t>
      </w:r>
      <w:r w:rsidRPr="0074125B">
        <w:rPr>
          <w:rFonts w:hint="eastAsia"/>
          <w:sz w:val="23"/>
          <w:szCs w:val="23"/>
        </w:rPr>
        <w:t>āš</w:t>
      </w:r>
      <w:r w:rsidRPr="0074125B">
        <w:rPr>
          <w:sz w:val="23"/>
          <w:szCs w:val="23"/>
        </w:rPr>
        <w:t>ana</w:t>
      </w:r>
      <w:proofErr w:type="spellEnd"/>
      <w:r w:rsidRPr="0074125B">
        <w:rPr>
          <w:sz w:val="23"/>
          <w:szCs w:val="23"/>
        </w:rPr>
        <w:t xml:space="preserve">, </w:t>
      </w:r>
      <w:proofErr w:type="spellStart"/>
      <w:r w:rsidRPr="0074125B">
        <w:rPr>
          <w:sz w:val="23"/>
          <w:szCs w:val="23"/>
        </w:rPr>
        <w:t>pieejam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ba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izmantošana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kvalitat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vas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dz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ves</w:t>
      </w:r>
      <w:proofErr w:type="spellEnd"/>
      <w:r w:rsidRPr="0074125B">
        <w:rPr>
          <w:sz w:val="23"/>
          <w:szCs w:val="23"/>
        </w:rPr>
        <w:t xml:space="preserve"> vides </w:t>
      </w:r>
      <w:proofErr w:type="spellStart"/>
      <w:r w:rsidRPr="0074125B">
        <w:rPr>
          <w:sz w:val="23"/>
          <w:szCs w:val="23"/>
        </w:rPr>
        <w:t>veidošan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iedz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vot</w:t>
      </w:r>
      <w:r w:rsidRPr="0074125B">
        <w:rPr>
          <w:rFonts w:hint="eastAsia"/>
          <w:sz w:val="23"/>
          <w:szCs w:val="23"/>
        </w:rPr>
        <w:t>ā</w:t>
      </w:r>
      <w:r w:rsidRPr="0074125B">
        <w:rPr>
          <w:sz w:val="23"/>
          <w:szCs w:val="23"/>
        </w:rPr>
        <w:t>ju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pieder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stiprin</w:t>
      </w:r>
      <w:r w:rsidRPr="0074125B">
        <w:rPr>
          <w:rFonts w:hint="eastAsia"/>
          <w:sz w:val="23"/>
          <w:szCs w:val="23"/>
        </w:rPr>
        <w:t>āš</w:t>
      </w:r>
      <w:r w:rsidRPr="0074125B">
        <w:rPr>
          <w:sz w:val="23"/>
          <w:szCs w:val="23"/>
        </w:rPr>
        <w:t>an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Latvijas-</w:t>
      </w:r>
      <w:proofErr w:type="spellStart"/>
      <w:r w:rsidRPr="0074125B">
        <w:rPr>
          <w:sz w:val="23"/>
          <w:szCs w:val="23"/>
        </w:rPr>
        <w:t>Lietuvas</w:t>
      </w:r>
      <w:proofErr w:type="spellEnd"/>
      <w:r w:rsidRPr="0074125B">
        <w:rPr>
          <w:sz w:val="23"/>
          <w:szCs w:val="23"/>
        </w:rPr>
        <w:t xml:space="preserve"> – </w:t>
      </w:r>
      <w:proofErr w:type="spellStart"/>
      <w:r w:rsidRPr="0074125B">
        <w:rPr>
          <w:sz w:val="23"/>
          <w:szCs w:val="23"/>
        </w:rPr>
        <w:t>Baltkrievijas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pierobež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>/ Rediscover the roots of the regions" (</w:t>
      </w:r>
      <w:proofErr w:type="spellStart"/>
      <w:r w:rsidRPr="0074125B">
        <w:rPr>
          <w:sz w:val="23"/>
          <w:szCs w:val="23"/>
        </w:rPr>
        <w:t>programmas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priekšfinansējums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projekta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īstenošanai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lastRenderedPageBreak/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43 276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</w:t>
      </w:r>
      <w:r w:rsidRPr="0074125B">
        <w:rPr>
          <w:bCs/>
          <w:color w:val="000000"/>
          <w:sz w:val="23"/>
          <w:szCs w:val="23"/>
          <w:lang w:eastAsia="lv-LV"/>
        </w:rPr>
        <w:t>LV-RU-020</w:t>
      </w:r>
      <w:r w:rsidRPr="0074125B">
        <w:rPr>
          <w:color w:val="222222"/>
          <w:sz w:val="23"/>
          <w:szCs w:val="23"/>
          <w:lang w:eastAsia="lv-LV"/>
        </w:rPr>
        <w:t xml:space="preserve"> “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Pleskavas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un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Zemgales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uzņēmējdarbības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vides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pārrobežu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sadarbības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attīstība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un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veicināšana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(SMEPRO)” </w:t>
      </w:r>
      <w:r w:rsidRPr="0074125B">
        <w:rPr>
          <w:sz w:val="23"/>
          <w:szCs w:val="23"/>
        </w:rPr>
        <w:t>(</w:t>
      </w:r>
      <w:proofErr w:type="spellStart"/>
      <w:r w:rsidRPr="0074125B">
        <w:rPr>
          <w:sz w:val="23"/>
          <w:szCs w:val="23"/>
        </w:rPr>
        <w:t>programmas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priekšfinansējums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projekta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īstenošanai</w:t>
      </w:r>
      <w:proofErr w:type="spellEnd"/>
      <w:r w:rsidRPr="0074125B">
        <w:rPr>
          <w:sz w:val="23"/>
          <w:szCs w:val="23"/>
        </w:rPr>
        <w:t>);</w:t>
      </w:r>
    </w:p>
    <w:p w:rsidR="0074125B" w:rsidRPr="0074125B" w:rsidRDefault="0074125B" w:rsidP="0074125B">
      <w:pPr>
        <w:numPr>
          <w:ilvl w:val="1"/>
          <w:numId w:val="2"/>
        </w:numPr>
        <w:tabs>
          <w:tab w:val="clear" w:pos="792"/>
          <w:tab w:val="num" w:pos="709"/>
        </w:tabs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ieņēmumus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30 EUR </w:t>
      </w:r>
      <w:proofErr w:type="spellStart"/>
      <w:r w:rsidRPr="0074125B">
        <w:rPr>
          <w:sz w:val="23"/>
          <w:szCs w:val="23"/>
        </w:rPr>
        <w:t>Pasažieru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komercpārvadājumu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taksometriem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licences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kartiņas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izsniegšanai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proofErr w:type="gramStart"/>
      <w:r w:rsidRPr="0074125B">
        <w:rPr>
          <w:sz w:val="23"/>
          <w:szCs w:val="23"/>
        </w:rPr>
        <w:t>ieņēmumus</w:t>
      </w:r>
      <w:proofErr w:type="spellEnd"/>
      <w:proofErr w:type="gram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50 EUR (</w:t>
      </w:r>
      <w:proofErr w:type="spellStart"/>
      <w:r w:rsidRPr="0074125B">
        <w:rPr>
          <w:sz w:val="23"/>
          <w:szCs w:val="23"/>
        </w:rPr>
        <w:t>Satiksmes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ministrijas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transferts</w:t>
      </w:r>
      <w:proofErr w:type="spellEnd"/>
      <w:r w:rsidRPr="0074125B">
        <w:rPr>
          <w:sz w:val="23"/>
          <w:szCs w:val="23"/>
        </w:rPr>
        <w:t xml:space="preserve"> plānošanas </w:t>
      </w:r>
      <w:proofErr w:type="spellStart"/>
      <w:r w:rsidRPr="0074125B">
        <w:rPr>
          <w:sz w:val="23"/>
          <w:szCs w:val="23"/>
        </w:rPr>
        <w:t>reģioniem</w:t>
      </w:r>
      <w:proofErr w:type="spellEnd"/>
      <w:r w:rsidRPr="0074125B">
        <w:rPr>
          <w:sz w:val="23"/>
          <w:szCs w:val="23"/>
        </w:rPr>
        <w:t xml:space="preserve"> par </w:t>
      </w:r>
      <w:proofErr w:type="spellStart"/>
      <w:r w:rsidRPr="0074125B">
        <w:rPr>
          <w:sz w:val="23"/>
          <w:szCs w:val="23"/>
        </w:rPr>
        <w:t>speciālo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atļauju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izsniegšanu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pasažieru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komercpārvadājumiem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taksometriem</w:t>
      </w:r>
      <w:proofErr w:type="spellEnd"/>
      <w:r w:rsidRPr="0074125B">
        <w:rPr>
          <w:sz w:val="23"/>
          <w:szCs w:val="23"/>
        </w:rPr>
        <w:t xml:space="preserve"> par 2019. </w:t>
      </w:r>
      <w:proofErr w:type="spellStart"/>
      <w:r w:rsidRPr="0074125B">
        <w:rPr>
          <w:sz w:val="23"/>
          <w:szCs w:val="23"/>
        </w:rPr>
        <w:t>gada</w:t>
      </w:r>
      <w:proofErr w:type="spellEnd"/>
      <w:r w:rsidRPr="0074125B">
        <w:rPr>
          <w:sz w:val="23"/>
          <w:szCs w:val="23"/>
        </w:rPr>
        <w:t xml:space="preserve"> 2. </w:t>
      </w:r>
      <w:proofErr w:type="spellStart"/>
      <w:r w:rsidRPr="0074125B">
        <w:rPr>
          <w:sz w:val="23"/>
          <w:szCs w:val="23"/>
        </w:rPr>
        <w:t>ceturksni</w:t>
      </w:r>
      <w:proofErr w:type="spellEnd"/>
      <w:r w:rsidRPr="0074125B">
        <w:rPr>
          <w:sz w:val="23"/>
          <w:szCs w:val="23"/>
        </w:rPr>
        <w:t>).</w:t>
      </w:r>
    </w:p>
    <w:p w:rsidR="0074125B" w:rsidRPr="0074125B" w:rsidRDefault="0074125B" w:rsidP="0074125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Uzdot</w:t>
      </w:r>
      <w:proofErr w:type="spellEnd"/>
      <w:r w:rsidRPr="0074125B">
        <w:rPr>
          <w:sz w:val="23"/>
          <w:szCs w:val="23"/>
        </w:rPr>
        <w:t xml:space="preserve"> ZPR </w:t>
      </w:r>
      <w:proofErr w:type="spellStart"/>
      <w:r w:rsidRPr="0074125B">
        <w:rPr>
          <w:sz w:val="23"/>
          <w:szCs w:val="23"/>
        </w:rPr>
        <w:t>grāmatvedībai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precizēt</w:t>
      </w:r>
      <w:proofErr w:type="spellEnd"/>
      <w:r w:rsidRPr="0074125B">
        <w:rPr>
          <w:sz w:val="23"/>
          <w:szCs w:val="23"/>
        </w:rPr>
        <w:t xml:space="preserve"> ZPR 2019. </w:t>
      </w:r>
      <w:proofErr w:type="spellStart"/>
      <w:r w:rsidRPr="0074125B">
        <w:rPr>
          <w:sz w:val="23"/>
          <w:szCs w:val="23"/>
        </w:rPr>
        <w:t>gada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>: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8 440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LLI-302 „</w:t>
      </w:r>
      <w:proofErr w:type="spellStart"/>
      <w:r w:rsidRPr="0074125B">
        <w:rPr>
          <w:sz w:val="23"/>
          <w:szCs w:val="23"/>
        </w:rPr>
        <w:t>Vietējo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publisko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drošības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pakalpojumu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efektivitātes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pieejamības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uzlabošana</w:t>
      </w:r>
      <w:proofErr w:type="spellEnd"/>
      <w:r w:rsidRPr="0074125B">
        <w:rPr>
          <w:sz w:val="23"/>
          <w:szCs w:val="23"/>
        </w:rPr>
        <w:t xml:space="preserve"> Latvijas un </w:t>
      </w:r>
      <w:proofErr w:type="spellStart"/>
      <w:r w:rsidRPr="0074125B">
        <w:rPr>
          <w:sz w:val="23"/>
          <w:szCs w:val="23"/>
        </w:rPr>
        <w:t>Lietuvas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pierobežā</w:t>
      </w:r>
      <w:proofErr w:type="spellEnd"/>
      <w:r w:rsidRPr="0074125B">
        <w:rPr>
          <w:sz w:val="23"/>
          <w:szCs w:val="23"/>
        </w:rPr>
        <w:t xml:space="preserve"> (Safe </w:t>
      </w:r>
      <w:proofErr w:type="spellStart"/>
      <w:r w:rsidRPr="0074125B">
        <w:rPr>
          <w:sz w:val="23"/>
          <w:szCs w:val="23"/>
        </w:rPr>
        <w:t>bordenlands</w:t>
      </w:r>
      <w:proofErr w:type="spellEnd"/>
      <w:r w:rsidRPr="0074125B">
        <w:rPr>
          <w:sz w:val="23"/>
          <w:szCs w:val="23"/>
        </w:rPr>
        <w:t xml:space="preserve">)"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13 352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PGI05271 „</w:t>
      </w:r>
      <w:proofErr w:type="spellStart"/>
      <w:r w:rsidRPr="0074125B">
        <w:rPr>
          <w:sz w:val="23"/>
          <w:szCs w:val="23"/>
        </w:rPr>
        <w:t>Eiropas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bioloģiskās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daudzveidības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aizsardzība</w:t>
      </w:r>
      <w:proofErr w:type="spellEnd"/>
      <w:r w:rsidRPr="0074125B">
        <w:rPr>
          <w:sz w:val="23"/>
          <w:szCs w:val="23"/>
        </w:rPr>
        <w:t xml:space="preserve"> no </w:t>
      </w:r>
      <w:proofErr w:type="spellStart"/>
      <w:r w:rsidRPr="0074125B">
        <w:rPr>
          <w:sz w:val="23"/>
          <w:szCs w:val="23"/>
        </w:rPr>
        <w:t>invazīvām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svešzemju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sugām</w:t>
      </w:r>
      <w:proofErr w:type="spellEnd"/>
      <w:r w:rsidRPr="0074125B">
        <w:rPr>
          <w:sz w:val="23"/>
          <w:szCs w:val="23"/>
        </w:rPr>
        <w:t xml:space="preserve"> (INVALIS)”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23 911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PGI00241 „</w:t>
      </w:r>
      <w:proofErr w:type="spellStart"/>
      <w:r w:rsidRPr="0074125B">
        <w:rPr>
          <w:sz w:val="23"/>
          <w:szCs w:val="23"/>
        </w:rPr>
        <w:t>Reģionālo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politiku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veidošana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uzņēmumiem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laukos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inovatīvas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konkurētspējas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izaugsmes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attīstībai</w:t>
      </w:r>
      <w:proofErr w:type="spellEnd"/>
      <w:r w:rsidRPr="0074125B">
        <w:rPr>
          <w:sz w:val="23"/>
          <w:szCs w:val="23"/>
        </w:rPr>
        <w:t xml:space="preserve"> (INNOGROW)"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6 308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PGI05114 “</w:t>
      </w:r>
      <w:proofErr w:type="spellStart"/>
      <w:r w:rsidRPr="0074125B">
        <w:rPr>
          <w:sz w:val="23"/>
          <w:szCs w:val="23"/>
        </w:rPr>
        <w:t>Jauniešu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uzņēmējdarbības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izpratnes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atbalsts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izmantojot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kompetenču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dinamiku</w:t>
      </w:r>
      <w:proofErr w:type="spellEnd"/>
      <w:r w:rsidRPr="0074125B">
        <w:rPr>
          <w:sz w:val="23"/>
          <w:szCs w:val="23"/>
        </w:rPr>
        <w:t xml:space="preserve">, </w:t>
      </w:r>
      <w:proofErr w:type="spellStart"/>
      <w:r w:rsidRPr="0074125B">
        <w:rPr>
          <w:sz w:val="23"/>
          <w:szCs w:val="23"/>
        </w:rPr>
        <w:t>mācību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metodes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uzņēmējdarbības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ekosistēmu</w:t>
      </w:r>
      <w:proofErr w:type="spellEnd"/>
      <w:r w:rsidRPr="0074125B">
        <w:rPr>
          <w:sz w:val="23"/>
          <w:szCs w:val="23"/>
        </w:rPr>
        <w:t xml:space="preserve"> (E_COOL)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186 275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LLI-317 "</w:t>
      </w:r>
      <w:proofErr w:type="spellStart"/>
      <w:r w:rsidRPr="0074125B">
        <w:rPr>
          <w:sz w:val="23"/>
          <w:szCs w:val="23"/>
        </w:rPr>
        <w:t>Sociālo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pakalpojumu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pieejamības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kvalitātes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uzlabošana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Vidus-Baltijas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reğionā</w:t>
      </w:r>
      <w:proofErr w:type="spellEnd"/>
      <w:r w:rsidRPr="0074125B">
        <w:rPr>
          <w:sz w:val="23"/>
          <w:szCs w:val="23"/>
        </w:rPr>
        <w:t>" (</w:t>
      </w:r>
      <w:proofErr w:type="spellStart"/>
      <w:r w:rsidRPr="0074125B">
        <w:rPr>
          <w:sz w:val="23"/>
          <w:szCs w:val="23"/>
        </w:rPr>
        <w:t>SocQuality</w:t>
      </w:r>
      <w:proofErr w:type="spellEnd"/>
      <w:r w:rsidRPr="0074125B">
        <w:rPr>
          <w:sz w:val="23"/>
          <w:szCs w:val="23"/>
        </w:rPr>
        <w:t xml:space="preserve">)”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12 948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#R073 „</w:t>
      </w:r>
      <w:proofErr w:type="spellStart"/>
      <w:r w:rsidRPr="0074125B">
        <w:rPr>
          <w:sz w:val="23"/>
          <w:szCs w:val="23"/>
        </w:rPr>
        <w:t>Pārrobežu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sadarbība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pārejai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videi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draudzīgu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autonomo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pirmās</w:t>
      </w:r>
      <w:proofErr w:type="spellEnd"/>
      <w:r w:rsidRPr="0074125B">
        <w:rPr>
          <w:sz w:val="23"/>
          <w:szCs w:val="23"/>
        </w:rPr>
        <w:t>/</w:t>
      </w:r>
      <w:proofErr w:type="spellStart"/>
      <w:r w:rsidRPr="0074125B">
        <w:rPr>
          <w:sz w:val="23"/>
          <w:szCs w:val="23"/>
        </w:rPr>
        <w:t>pēdējās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jūdzes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sabiedrisko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transportu</w:t>
      </w:r>
      <w:proofErr w:type="spellEnd"/>
      <w:r w:rsidRPr="0074125B">
        <w:rPr>
          <w:sz w:val="23"/>
          <w:szCs w:val="23"/>
        </w:rPr>
        <w:t xml:space="preserve">  (SOHJOA BALTIC)”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22 453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PGI02462 „</w:t>
      </w:r>
      <w:proofErr w:type="spellStart"/>
      <w:r w:rsidRPr="0074125B">
        <w:rPr>
          <w:sz w:val="23"/>
          <w:szCs w:val="23"/>
        </w:rPr>
        <w:t>Zaļais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publiskais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iepirkums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resursu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efektīvai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izaugsmei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reģionos</w:t>
      </w:r>
      <w:proofErr w:type="spellEnd"/>
      <w:r w:rsidRPr="0074125B">
        <w:rPr>
          <w:sz w:val="23"/>
          <w:szCs w:val="23"/>
        </w:rPr>
        <w:t xml:space="preserve"> (GPP4Growth)”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278 530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ENI-LLB-1-108 "</w:t>
      </w:r>
      <w:proofErr w:type="spellStart"/>
      <w:r w:rsidRPr="0074125B">
        <w:rPr>
          <w:sz w:val="23"/>
          <w:szCs w:val="23"/>
        </w:rPr>
        <w:t>Nemateri</w:t>
      </w:r>
      <w:r w:rsidRPr="0074125B">
        <w:rPr>
          <w:rFonts w:hint="eastAsia"/>
          <w:sz w:val="23"/>
          <w:szCs w:val="23"/>
        </w:rPr>
        <w:t>ā</w:t>
      </w:r>
      <w:r w:rsidRPr="0074125B">
        <w:rPr>
          <w:sz w:val="23"/>
          <w:szCs w:val="23"/>
        </w:rPr>
        <w:t>l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kult</w:t>
      </w:r>
      <w:r w:rsidRPr="0074125B">
        <w:rPr>
          <w:rFonts w:hint="eastAsia"/>
          <w:sz w:val="23"/>
          <w:szCs w:val="23"/>
        </w:rPr>
        <w:t>ū</w:t>
      </w:r>
      <w:r w:rsidRPr="0074125B">
        <w:rPr>
          <w:sz w:val="23"/>
          <w:szCs w:val="23"/>
        </w:rPr>
        <w:t>rv</w:t>
      </w:r>
      <w:r w:rsidRPr="0074125B">
        <w:rPr>
          <w:rFonts w:hint="eastAsia"/>
          <w:sz w:val="23"/>
          <w:szCs w:val="23"/>
        </w:rPr>
        <w:t>ē</w:t>
      </w:r>
      <w:r w:rsidRPr="0074125B">
        <w:rPr>
          <w:sz w:val="23"/>
          <w:szCs w:val="23"/>
        </w:rPr>
        <w:t>sturisk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mantojuma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saglab</w:t>
      </w:r>
      <w:r w:rsidRPr="0074125B">
        <w:rPr>
          <w:rFonts w:hint="eastAsia"/>
          <w:sz w:val="23"/>
          <w:szCs w:val="23"/>
        </w:rPr>
        <w:t>āš</w:t>
      </w:r>
      <w:r w:rsidRPr="0074125B">
        <w:rPr>
          <w:sz w:val="23"/>
          <w:szCs w:val="23"/>
        </w:rPr>
        <w:t>ana</w:t>
      </w:r>
      <w:proofErr w:type="spellEnd"/>
      <w:r w:rsidRPr="0074125B">
        <w:rPr>
          <w:sz w:val="23"/>
          <w:szCs w:val="23"/>
        </w:rPr>
        <w:t xml:space="preserve">, </w:t>
      </w:r>
      <w:proofErr w:type="spellStart"/>
      <w:r w:rsidRPr="0074125B">
        <w:rPr>
          <w:sz w:val="23"/>
          <w:szCs w:val="23"/>
        </w:rPr>
        <w:t>pieejam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ba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izmantošana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kvalitat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vas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dz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ves</w:t>
      </w:r>
      <w:proofErr w:type="spellEnd"/>
      <w:r w:rsidRPr="0074125B">
        <w:rPr>
          <w:sz w:val="23"/>
          <w:szCs w:val="23"/>
        </w:rPr>
        <w:t xml:space="preserve"> vides </w:t>
      </w:r>
      <w:proofErr w:type="spellStart"/>
      <w:r w:rsidRPr="0074125B">
        <w:rPr>
          <w:sz w:val="23"/>
          <w:szCs w:val="23"/>
        </w:rPr>
        <w:t>veidošan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iedz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vot</w:t>
      </w:r>
      <w:r w:rsidRPr="0074125B">
        <w:rPr>
          <w:rFonts w:hint="eastAsia"/>
          <w:sz w:val="23"/>
          <w:szCs w:val="23"/>
        </w:rPr>
        <w:t>ā</w:t>
      </w:r>
      <w:r w:rsidRPr="0074125B">
        <w:rPr>
          <w:sz w:val="23"/>
          <w:szCs w:val="23"/>
        </w:rPr>
        <w:t>ju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pieder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bas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stiprin</w:t>
      </w:r>
      <w:r w:rsidRPr="0074125B">
        <w:rPr>
          <w:rFonts w:hint="eastAsia"/>
          <w:sz w:val="23"/>
          <w:szCs w:val="23"/>
        </w:rPr>
        <w:t>āš</w:t>
      </w:r>
      <w:r w:rsidRPr="0074125B">
        <w:rPr>
          <w:sz w:val="23"/>
          <w:szCs w:val="23"/>
        </w:rPr>
        <w:t>an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 Latvijas-</w:t>
      </w:r>
      <w:proofErr w:type="spellStart"/>
      <w:r w:rsidRPr="0074125B">
        <w:rPr>
          <w:sz w:val="23"/>
          <w:szCs w:val="23"/>
        </w:rPr>
        <w:t>Lietuvas</w:t>
      </w:r>
      <w:proofErr w:type="spellEnd"/>
      <w:r w:rsidRPr="0074125B">
        <w:rPr>
          <w:sz w:val="23"/>
          <w:szCs w:val="23"/>
        </w:rPr>
        <w:t xml:space="preserve"> – </w:t>
      </w:r>
      <w:proofErr w:type="spellStart"/>
      <w:r w:rsidRPr="0074125B">
        <w:rPr>
          <w:sz w:val="23"/>
          <w:szCs w:val="23"/>
        </w:rPr>
        <w:t>Baltkrievijas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pierobež</w:t>
      </w:r>
      <w:r w:rsidRPr="0074125B">
        <w:rPr>
          <w:rFonts w:hint="eastAsia"/>
          <w:sz w:val="23"/>
          <w:szCs w:val="23"/>
        </w:rPr>
        <w:t>ā</w:t>
      </w:r>
      <w:proofErr w:type="spellEnd"/>
      <w:r w:rsidRPr="0074125B">
        <w:rPr>
          <w:sz w:val="23"/>
          <w:szCs w:val="23"/>
        </w:rPr>
        <w:t xml:space="preserve">/ Rediscover the roots of the regions"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43 276 EUR </w:t>
      </w:r>
      <w:proofErr w:type="spellStart"/>
      <w:r w:rsidRPr="0074125B">
        <w:rPr>
          <w:sz w:val="23"/>
          <w:szCs w:val="23"/>
        </w:rPr>
        <w:t>projektam</w:t>
      </w:r>
      <w:proofErr w:type="spellEnd"/>
      <w:r w:rsidRPr="0074125B">
        <w:rPr>
          <w:sz w:val="23"/>
          <w:szCs w:val="23"/>
        </w:rPr>
        <w:t xml:space="preserve"> </w:t>
      </w:r>
      <w:r w:rsidRPr="0074125B">
        <w:rPr>
          <w:bCs/>
          <w:color w:val="000000"/>
          <w:sz w:val="23"/>
          <w:szCs w:val="23"/>
          <w:lang w:eastAsia="lv-LV"/>
        </w:rPr>
        <w:t>LV-RU-020</w:t>
      </w:r>
      <w:r w:rsidRPr="0074125B">
        <w:rPr>
          <w:color w:val="222222"/>
          <w:sz w:val="23"/>
          <w:szCs w:val="23"/>
          <w:lang w:eastAsia="lv-LV"/>
        </w:rPr>
        <w:t xml:space="preserve"> “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Pleskavas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un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Zemgales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uzņēmējdarbības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vides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pārrobežu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sadarbības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attīstība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un </w:t>
      </w:r>
      <w:proofErr w:type="spellStart"/>
      <w:r w:rsidRPr="0074125B">
        <w:rPr>
          <w:bCs/>
          <w:color w:val="000000"/>
          <w:sz w:val="23"/>
          <w:szCs w:val="23"/>
          <w:lang w:eastAsia="lv-LV"/>
        </w:rPr>
        <w:t>veicināšana</w:t>
      </w:r>
      <w:proofErr w:type="spellEnd"/>
      <w:r w:rsidRPr="0074125B">
        <w:rPr>
          <w:bCs/>
          <w:color w:val="000000"/>
          <w:sz w:val="23"/>
          <w:szCs w:val="23"/>
          <w:lang w:eastAsia="lv-LV"/>
        </w:rPr>
        <w:t xml:space="preserve"> (SMEPRO)” </w:t>
      </w:r>
      <w:r w:rsidRPr="0074125B">
        <w:rPr>
          <w:sz w:val="23"/>
          <w:szCs w:val="23"/>
        </w:rPr>
        <w:t xml:space="preserve">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izdevumus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30 EUR </w:t>
      </w:r>
      <w:proofErr w:type="spellStart"/>
      <w:r w:rsidRPr="0074125B">
        <w:rPr>
          <w:sz w:val="23"/>
          <w:szCs w:val="23"/>
        </w:rPr>
        <w:t>Pasažieru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komercpārvadājumu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taksometriem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licences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kartiņas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izsniegšanai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;</w:t>
      </w:r>
    </w:p>
    <w:p w:rsidR="0074125B" w:rsidRPr="0074125B" w:rsidRDefault="0074125B" w:rsidP="0074125B">
      <w:pPr>
        <w:numPr>
          <w:ilvl w:val="1"/>
          <w:numId w:val="2"/>
        </w:numPr>
        <w:jc w:val="both"/>
        <w:rPr>
          <w:sz w:val="23"/>
          <w:szCs w:val="23"/>
        </w:rPr>
      </w:pPr>
      <w:proofErr w:type="spellStart"/>
      <w:proofErr w:type="gramStart"/>
      <w:r w:rsidRPr="0074125B">
        <w:rPr>
          <w:sz w:val="23"/>
          <w:szCs w:val="23"/>
        </w:rPr>
        <w:t>izdevumus</w:t>
      </w:r>
      <w:proofErr w:type="spellEnd"/>
      <w:proofErr w:type="gram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palielināt</w:t>
      </w:r>
      <w:proofErr w:type="spellEnd"/>
      <w:r w:rsidRPr="0074125B">
        <w:rPr>
          <w:sz w:val="23"/>
          <w:szCs w:val="23"/>
        </w:rPr>
        <w:t xml:space="preserve"> par 50 EUR </w:t>
      </w:r>
      <w:proofErr w:type="spellStart"/>
      <w:r w:rsidRPr="0074125B">
        <w:rPr>
          <w:sz w:val="23"/>
          <w:szCs w:val="23"/>
        </w:rPr>
        <w:t>Sabiedriskā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transporta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autoceļa</w:t>
      </w:r>
      <w:proofErr w:type="spellEnd"/>
      <w:r w:rsidRPr="0074125B">
        <w:rPr>
          <w:sz w:val="23"/>
          <w:szCs w:val="23"/>
        </w:rPr>
        <w:t xml:space="preserve"> attīstības </w:t>
      </w:r>
      <w:proofErr w:type="spellStart"/>
      <w:r w:rsidRPr="0074125B">
        <w:rPr>
          <w:sz w:val="23"/>
          <w:szCs w:val="23"/>
        </w:rPr>
        <w:t>nodaļas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finansējumam</w:t>
      </w:r>
      <w:proofErr w:type="spellEnd"/>
      <w:r w:rsidRPr="0074125B">
        <w:rPr>
          <w:sz w:val="23"/>
          <w:szCs w:val="23"/>
        </w:rPr>
        <w:t xml:space="preserve"> un </w:t>
      </w:r>
      <w:proofErr w:type="spellStart"/>
      <w:r w:rsidRPr="0074125B">
        <w:rPr>
          <w:sz w:val="23"/>
          <w:szCs w:val="23"/>
        </w:rPr>
        <w:t>sadal</w:t>
      </w:r>
      <w:r w:rsidRPr="0074125B">
        <w:rPr>
          <w:rFonts w:hint="eastAsia"/>
          <w:sz w:val="23"/>
          <w:szCs w:val="23"/>
        </w:rPr>
        <w:t>ī</w:t>
      </w:r>
      <w:r w:rsidRPr="0074125B">
        <w:rPr>
          <w:sz w:val="23"/>
          <w:szCs w:val="23"/>
        </w:rPr>
        <w:t>t</w:t>
      </w:r>
      <w:proofErr w:type="spellEnd"/>
      <w:r w:rsidRPr="0074125B">
        <w:rPr>
          <w:sz w:val="23"/>
          <w:szCs w:val="23"/>
        </w:rPr>
        <w:t xml:space="preserve"> pa </w:t>
      </w:r>
      <w:proofErr w:type="spellStart"/>
      <w:r w:rsidRPr="0074125B">
        <w:rPr>
          <w:sz w:val="23"/>
          <w:szCs w:val="23"/>
        </w:rPr>
        <w:t>izdevumu</w:t>
      </w:r>
      <w:proofErr w:type="spellEnd"/>
      <w:r w:rsidRPr="0074125B">
        <w:rPr>
          <w:sz w:val="23"/>
          <w:szCs w:val="23"/>
        </w:rPr>
        <w:t xml:space="preserve"> KK </w:t>
      </w:r>
      <w:proofErr w:type="spellStart"/>
      <w:r w:rsidRPr="0074125B">
        <w:rPr>
          <w:sz w:val="23"/>
          <w:szCs w:val="23"/>
        </w:rPr>
        <w:t>saska</w:t>
      </w:r>
      <w:r w:rsidRPr="0074125B">
        <w:rPr>
          <w:rFonts w:hint="eastAsia"/>
          <w:sz w:val="23"/>
          <w:szCs w:val="23"/>
        </w:rPr>
        <w:t>ņā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ar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budžetu</w:t>
      </w:r>
      <w:proofErr w:type="spellEnd"/>
      <w:r w:rsidRPr="0074125B">
        <w:rPr>
          <w:sz w:val="23"/>
          <w:szCs w:val="23"/>
        </w:rPr>
        <w:t>.</w:t>
      </w:r>
    </w:p>
    <w:p w:rsidR="0074125B" w:rsidRPr="0074125B" w:rsidRDefault="0074125B" w:rsidP="0074125B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Kontroli</w:t>
      </w:r>
      <w:proofErr w:type="spellEnd"/>
      <w:r w:rsidRPr="0074125B">
        <w:rPr>
          <w:sz w:val="23"/>
          <w:szCs w:val="23"/>
        </w:rPr>
        <w:t xml:space="preserve"> par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74125B">
          <w:rPr>
            <w:sz w:val="23"/>
            <w:szCs w:val="23"/>
          </w:rPr>
          <w:t xml:space="preserve"> </w:t>
        </w:r>
        <w:proofErr w:type="spellStart"/>
        <w:r w:rsidRPr="0074125B">
          <w:rPr>
            <w:sz w:val="23"/>
            <w:szCs w:val="23"/>
          </w:rPr>
          <w:t>lēmuma</w:t>
        </w:r>
      </w:smartTag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izpildi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uzdot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Zemgales</w:t>
      </w:r>
      <w:proofErr w:type="spellEnd"/>
      <w:r w:rsidRPr="0074125B">
        <w:rPr>
          <w:sz w:val="23"/>
          <w:szCs w:val="23"/>
        </w:rPr>
        <w:t xml:space="preserve"> plānošanas </w:t>
      </w:r>
      <w:proofErr w:type="spellStart"/>
      <w:r w:rsidRPr="0074125B">
        <w:rPr>
          <w:sz w:val="23"/>
          <w:szCs w:val="23"/>
        </w:rPr>
        <w:t>reģiona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izpilddirektoram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Valdim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Veipam</w:t>
      </w:r>
      <w:proofErr w:type="spellEnd"/>
      <w:r w:rsidRPr="0074125B">
        <w:rPr>
          <w:sz w:val="23"/>
          <w:szCs w:val="23"/>
        </w:rPr>
        <w:t>.</w:t>
      </w:r>
    </w:p>
    <w:p w:rsidR="007C5EFD" w:rsidRPr="0074125B" w:rsidRDefault="007C5EFD" w:rsidP="0074125B">
      <w:pPr>
        <w:rPr>
          <w:sz w:val="23"/>
          <w:szCs w:val="23"/>
          <w:lang w:val="lv-LV"/>
        </w:rPr>
      </w:pPr>
    </w:p>
    <w:p w:rsidR="0074125B" w:rsidRPr="0074125B" w:rsidRDefault="0074125B" w:rsidP="0074125B">
      <w:pPr>
        <w:rPr>
          <w:sz w:val="23"/>
          <w:szCs w:val="23"/>
          <w:lang w:val="lv-LV"/>
        </w:rPr>
      </w:pPr>
    </w:p>
    <w:p w:rsidR="0074125B" w:rsidRPr="0074125B" w:rsidRDefault="0074125B" w:rsidP="0074125B">
      <w:pPr>
        <w:jc w:val="both"/>
        <w:rPr>
          <w:sz w:val="23"/>
          <w:szCs w:val="23"/>
        </w:rPr>
      </w:pPr>
      <w:proofErr w:type="spellStart"/>
      <w:r w:rsidRPr="0074125B">
        <w:rPr>
          <w:sz w:val="23"/>
          <w:szCs w:val="23"/>
        </w:rPr>
        <w:t>Padomes</w:t>
      </w:r>
      <w:proofErr w:type="spellEnd"/>
      <w:r w:rsidRPr="0074125B">
        <w:rPr>
          <w:sz w:val="23"/>
          <w:szCs w:val="23"/>
        </w:rPr>
        <w:t xml:space="preserve"> </w:t>
      </w:r>
      <w:proofErr w:type="spellStart"/>
      <w:r w:rsidRPr="0074125B">
        <w:rPr>
          <w:sz w:val="23"/>
          <w:szCs w:val="23"/>
        </w:rPr>
        <w:t>priekšsēdētājs</w:t>
      </w:r>
      <w:proofErr w:type="spellEnd"/>
      <w:r w:rsidRPr="0074125B">
        <w:rPr>
          <w:sz w:val="23"/>
          <w:szCs w:val="23"/>
        </w:rPr>
        <w:t xml:space="preserve"> </w:t>
      </w:r>
      <w:r w:rsidRPr="0074125B">
        <w:rPr>
          <w:sz w:val="23"/>
          <w:szCs w:val="23"/>
        </w:rPr>
        <w:tab/>
      </w:r>
      <w:r w:rsidRPr="0074125B">
        <w:rPr>
          <w:sz w:val="23"/>
          <w:szCs w:val="23"/>
        </w:rPr>
        <w:tab/>
      </w:r>
      <w:r w:rsidRPr="0074125B">
        <w:rPr>
          <w:sz w:val="23"/>
          <w:szCs w:val="23"/>
        </w:rPr>
        <w:tab/>
      </w:r>
      <w:r w:rsidRPr="0074125B">
        <w:rPr>
          <w:sz w:val="23"/>
          <w:szCs w:val="23"/>
        </w:rPr>
        <w:tab/>
        <w:t>A.OKMANIS</w:t>
      </w:r>
    </w:p>
    <w:p w:rsidR="0074125B" w:rsidRPr="0074125B" w:rsidRDefault="0074125B" w:rsidP="0074125B">
      <w:pPr>
        <w:rPr>
          <w:i/>
          <w:sz w:val="23"/>
          <w:szCs w:val="23"/>
          <w:lang w:val="lv-LV"/>
        </w:rPr>
      </w:pPr>
      <w:r w:rsidRPr="0074125B">
        <w:rPr>
          <w:sz w:val="23"/>
          <w:szCs w:val="23"/>
        </w:rPr>
        <w:tab/>
      </w:r>
    </w:p>
    <w:p w:rsidR="0074125B" w:rsidRPr="0074125B" w:rsidRDefault="0074125B" w:rsidP="0074125B">
      <w:pPr>
        <w:rPr>
          <w:i/>
          <w:sz w:val="23"/>
          <w:szCs w:val="23"/>
          <w:lang w:val="lv-LV"/>
        </w:rPr>
      </w:pPr>
    </w:p>
    <w:p w:rsidR="0074125B" w:rsidRPr="0074125B" w:rsidRDefault="0074125B" w:rsidP="0074125B">
      <w:pPr>
        <w:rPr>
          <w:i/>
          <w:sz w:val="23"/>
          <w:szCs w:val="23"/>
          <w:lang w:val="lv-LV"/>
        </w:rPr>
      </w:pPr>
      <w:r w:rsidRPr="0074125B">
        <w:rPr>
          <w:i/>
          <w:sz w:val="23"/>
          <w:szCs w:val="23"/>
          <w:u w:val="single"/>
          <w:lang w:val="lv-LV"/>
        </w:rPr>
        <w:t>Izsūtīt:</w:t>
      </w:r>
      <w:r w:rsidRPr="0074125B">
        <w:rPr>
          <w:i/>
          <w:sz w:val="23"/>
          <w:szCs w:val="23"/>
          <w:lang w:val="lv-LV"/>
        </w:rPr>
        <w:t xml:space="preserve"> lietā.</w:t>
      </w:r>
    </w:p>
    <w:p w:rsidR="0074125B" w:rsidRPr="0074125B" w:rsidRDefault="0074125B" w:rsidP="0074125B">
      <w:pPr>
        <w:rPr>
          <w:sz w:val="23"/>
          <w:szCs w:val="23"/>
          <w:lang w:val="lv-LV"/>
        </w:rPr>
      </w:pPr>
      <w:bookmarkStart w:id="0" w:name="_GoBack"/>
      <w:bookmarkEnd w:id="0"/>
    </w:p>
    <w:sectPr w:rsidR="0074125B" w:rsidRPr="0074125B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6C7" w:rsidRDefault="00E626C7" w:rsidP="00434F22">
      <w:r>
        <w:separator/>
      </w:r>
    </w:p>
  </w:endnote>
  <w:endnote w:type="continuationSeparator" w:id="0">
    <w:p w:rsidR="00E626C7" w:rsidRDefault="00E626C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6C7" w:rsidRDefault="00E626C7" w:rsidP="00434F22">
      <w:r>
        <w:separator/>
      </w:r>
    </w:p>
  </w:footnote>
  <w:footnote w:type="continuationSeparator" w:id="0">
    <w:p w:rsidR="00E626C7" w:rsidRDefault="00E626C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25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5EFD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26C7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6A90-F7B0-424F-A915-7F2F4997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3695</Words>
  <Characters>2107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2019-08-21T12:46:00Z</dcterms:created>
  <dcterms:modified xsi:type="dcterms:W3CDTF">2019-08-21T12:46:00Z</dcterms:modified>
</cp:coreProperties>
</file>